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4BF71" w14:textId="1FEE9F61" w:rsidR="001B089C" w:rsidRPr="00804BEA" w:rsidRDefault="00E369D1" w:rsidP="00026AA4">
      <w:pPr>
        <w:jc w:val="center"/>
      </w:pPr>
      <w:r w:rsidRPr="00804BE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66C75" wp14:editId="7EA9C4B6">
                <wp:simplePos x="0" y="0"/>
                <wp:positionH relativeFrom="column">
                  <wp:posOffset>2093595</wp:posOffset>
                </wp:positionH>
                <wp:positionV relativeFrom="paragraph">
                  <wp:posOffset>-667385</wp:posOffset>
                </wp:positionV>
                <wp:extent cx="828675" cy="676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60594" id="Rectangle 2" o:spid="_x0000_s1026" style="position:absolute;margin-left:164.85pt;margin-top:-52.55pt;width:65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XVjwIAAKsFAAAOAAAAZHJzL2Uyb0RvYy54bWysVFFPGzEMfp+0/xDlfVx7gsIqrqgCMU1C&#10;gCgTz2ku6UXKxVmS9tr9+jnJ3ZUxtAe0PqRObH+2v7N9ebVvNdkJ5xWYik5PJpQIw6FWZlPRH8+3&#10;Xy4o8YGZmmkwoqIH4enV4vOny87ORQkN6Fo4giDGzztb0SYEOy8KzxvRMn8CVhhUSnAtC3h1m6J2&#10;rEP0VhflZDIrOnC1dcCF9/h6k5V0kfClFDw8SOlFILqimFtIp0vnOp7F4pLNN47ZRvE+DfaBLFqm&#10;DAYdoW5YYGTr1F9QreIOPMhwwqEtQErFRaoBq5lO3lSzapgVqRYkx9uRJv//YPn97tERVVe0pMSw&#10;Fj/RE5LGzEYLUkZ6OuvnaLWyj66/eRRjrXvp2viPVZB9ovQwUir2gXB8vCgvZudnlHBUzc5nJcqI&#10;UhydrfPhm4CWRKGiDoMnItnuzodsOpjEWB60qm+V1ukSu0Rca0d2DL/vejPtwf+w0uZDjphj9Cxi&#10;/bniJIWDFhFPmychkTissUwJp5Y9JsM4FyZMs6phtcg5nk3wN2Q5pJ8ISYARWWJ1I3YPMFhmkAE7&#10;09PbR1eROn50nvwrsew8eqTIYMLo3CoD7j0AjVX1kbP9QFKmJrK0hvqAbeUgz5u3/Fbh571jPjwy&#10;hwOGo4hLIzzgITV0FYVeoqQB9+u992iPfY9aSjoc2Ir6n1vmBCX6u8GJ+Do9PY0Tni6nZ+clXtxr&#10;zfq1xmzba8CemeJ6sjyJ0T7oQZQO2hfcLcsYFVXMcIxdUR7ccLkOeZHgduJiuUxmONWWhTuzsjyC&#10;R1Zj+z7vX5izfY8HHI57GIabzd+0eraNngaW2wBSpTk48trzjRshNU6/veLKeX1PVscdu/gNAAD/&#10;/wMAUEsDBBQABgAIAAAAIQDoSwib4AAAAAoBAAAPAAAAZHJzL2Rvd25yZXYueG1sTI9BS8NAEIXv&#10;gv9hGcFbu0msrY3ZFBFFBA/aCnqcZneTYHY2ZDdp/PeOJz0O7+O9b4rd7DoxmSG0nhSkywSEocrr&#10;lmoF74fHxQ2IEJE0dp6Mgm8TYFeenxWYa3+iNzPtYy24hEKOCpoY+1zKUDXGYVj63hBn1g8OI59D&#10;LfWAJy53ncySZC0dtsQLDfbmvjHV1350Cj4tPh0ensOLtNlkt+3r+GE3o1KXF/PdLYho5vgHw68+&#10;q0PJTkc/kg6iU3CVbTeMKlikyXUKgpHVOslAHJldgSwL+f+F8gcAAP//AwBQSwECLQAUAAYACAAA&#10;ACEAtoM4kv4AAADhAQAAEwAAAAAAAAAAAAAAAAAAAAAAW0NvbnRlbnRfVHlwZXNdLnhtbFBLAQIt&#10;ABQABgAIAAAAIQA4/SH/1gAAAJQBAAALAAAAAAAAAAAAAAAAAC8BAABfcmVscy8ucmVsc1BLAQIt&#10;ABQABgAIAAAAIQDKP9XVjwIAAKsFAAAOAAAAAAAAAAAAAAAAAC4CAABkcnMvZTJvRG9jLnhtbFBL&#10;AQItABQABgAIAAAAIQDoSwib4AAAAAoBAAAPAAAAAAAAAAAAAAAAAOkEAABkcnMvZG93bnJldi54&#10;bWxQSwUGAAAAAAQABADzAAAA9gUAAAAA&#10;" fillcolor="white [3212]" strokecolor="white [3212]" strokeweight="1pt"/>
            </w:pict>
          </mc:Fallback>
        </mc:AlternateContent>
      </w:r>
      <w:r w:rsidR="00261881" w:rsidRPr="00804BEA">
        <w:rPr>
          <w:b/>
          <w:bCs/>
          <w:noProof/>
          <w:sz w:val="32"/>
          <w:szCs w:val="32"/>
        </w:rPr>
        <w:t>COVID 19 Roadmap to Opening</w:t>
      </w:r>
    </w:p>
    <w:p w14:paraId="65553B66" w14:textId="4940D2F3" w:rsidR="005E7805" w:rsidRPr="00804BEA" w:rsidRDefault="005E7805" w:rsidP="00BA3E58">
      <w:pPr>
        <w:jc w:val="both"/>
        <w:rPr>
          <w:b/>
          <w:bCs/>
        </w:rPr>
      </w:pPr>
      <w:r w:rsidRPr="00804BEA">
        <w:rPr>
          <w:b/>
          <w:bCs/>
        </w:rPr>
        <w:t>Aim:</w:t>
      </w:r>
    </w:p>
    <w:p w14:paraId="56E99203" w14:textId="6D1F16F6" w:rsidR="005E7805" w:rsidRPr="00804BEA" w:rsidRDefault="005E7805" w:rsidP="00804BEA">
      <w:pPr>
        <w:ind w:right="-1"/>
        <w:jc w:val="both"/>
      </w:pPr>
      <w:r w:rsidRPr="00804BEA">
        <w:t>To facilitate safe opening of Bartley Sailing Club in alignment with government and RYA guidelines.</w:t>
      </w:r>
    </w:p>
    <w:p w14:paraId="5F14FD82" w14:textId="360B29F4" w:rsidR="00BA3E58" w:rsidRPr="00804BEA" w:rsidRDefault="00BA3E58" w:rsidP="00804BEA">
      <w:pPr>
        <w:ind w:right="-143"/>
        <w:jc w:val="both"/>
        <w:rPr>
          <w:b/>
          <w:bCs/>
        </w:rPr>
      </w:pPr>
      <w:r w:rsidRPr="00804BEA">
        <w:rPr>
          <w:b/>
          <w:bCs/>
        </w:rPr>
        <w:t>Guiding Principle:</w:t>
      </w:r>
    </w:p>
    <w:p w14:paraId="57F094D2" w14:textId="632DBC1C" w:rsidR="00AC23F5" w:rsidRPr="00804BEA" w:rsidRDefault="00BA3E58" w:rsidP="00BA3E58">
      <w:pPr>
        <w:jc w:val="both"/>
      </w:pPr>
      <w:r w:rsidRPr="00804BEA">
        <w:t xml:space="preserve">All Members are expected to act responsibly and in line with government guidance when on site. </w:t>
      </w:r>
      <w:r w:rsidR="00804BEA">
        <w:t xml:space="preserve">Members displaying symptoms or recovering from Covid 19 must not attend the club until they are symptom free / fully recovered. </w:t>
      </w:r>
      <w:r w:rsidRPr="00804BEA">
        <w:t>Safety of participants on site remains a priority. In the unlikely event of an incident occurring then the immediate risk to life takes priority over all else.</w:t>
      </w:r>
    </w:p>
    <w:p w14:paraId="6AA944C2" w14:textId="2A578766" w:rsidR="005E7805" w:rsidRPr="00804BEA" w:rsidRDefault="005E7805" w:rsidP="00BA3E58">
      <w:pPr>
        <w:jc w:val="both"/>
        <w:rPr>
          <w:b/>
          <w:bCs/>
        </w:rPr>
      </w:pPr>
      <w:r w:rsidRPr="00804BEA">
        <w:rPr>
          <w:b/>
          <w:bCs/>
        </w:rPr>
        <w:t>Personal Choice:</w:t>
      </w:r>
    </w:p>
    <w:p w14:paraId="7AF20D12" w14:textId="3B34D267" w:rsidR="005E7805" w:rsidRPr="00804BEA" w:rsidRDefault="005E7805" w:rsidP="00BA3E58">
      <w:pPr>
        <w:jc w:val="both"/>
      </w:pPr>
      <w:r w:rsidRPr="00804BEA">
        <w:t>The club will act responsibl</w:t>
      </w:r>
      <w:r w:rsidR="00804BEA">
        <w:t>y</w:t>
      </w:r>
      <w:r w:rsidRPr="00804BEA">
        <w:t xml:space="preserve"> and legally in line with current government guidance. It is the individual’s personal choice whether they choose to attend based on their attitude to risk and individual interpretation of guidance.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952088" w:rsidRPr="00903A14" w14:paraId="15563AEC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779FB356" w14:textId="4245D9F4" w:rsidR="00952088" w:rsidRPr="00903A14" w:rsidRDefault="00BA3E58" w:rsidP="00FD5846">
            <w:pPr>
              <w:jc w:val="both"/>
            </w:pPr>
            <w:r>
              <w:t>Government Steps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AFCFFF" w14:textId="558B1070" w:rsidR="00952088" w:rsidRPr="00903A14" w:rsidRDefault="00952088" w:rsidP="00952088">
            <w:pPr>
              <w:jc w:val="center"/>
            </w:pPr>
            <w:r w:rsidRPr="00903A14">
              <w:t>Step 1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27CB36E4" w14:textId="1D755C29" w:rsidR="00952088" w:rsidRPr="00903A14" w:rsidRDefault="00952088" w:rsidP="00952088">
            <w:pPr>
              <w:jc w:val="center"/>
            </w:pPr>
            <w:r w:rsidRPr="00903A14">
              <w:t>Step 2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3A0586B8" w14:textId="000FB27D" w:rsidR="00952088" w:rsidRPr="00903A14" w:rsidRDefault="00952088" w:rsidP="00952088">
            <w:pPr>
              <w:jc w:val="center"/>
            </w:pPr>
            <w:r w:rsidRPr="00903A14">
              <w:t>Step 3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010E1C09" w14:textId="3608C60F" w:rsidR="00952088" w:rsidRPr="00903A14" w:rsidRDefault="00952088" w:rsidP="00952088">
            <w:pPr>
              <w:jc w:val="center"/>
            </w:pPr>
            <w:r w:rsidRPr="00903A14">
              <w:t>Step 4</w:t>
            </w:r>
          </w:p>
        </w:tc>
      </w:tr>
      <w:tr w:rsidR="00952088" w:rsidRPr="00903A14" w14:paraId="2082DF8A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281F2550" w14:textId="001BDBE9" w:rsidR="00952088" w:rsidRPr="00903A14" w:rsidRDefault="00952088" w:rsidP="00903A14">
            <w:r w:rsidRPr="00903A14">
              <w:t>Date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4DE7282B" w14:textId="6962166C" w:rsidR="00952088" w:rsidRPr="00903A14" w:rsidRDefault="00952088" w:rsidP="00903A14">
            <w:r w:rsidRPr="00903A14">
              <w:t>31</w:t>
            </w:r>
            <w:r w:rsidRPr="00903A14">
              <w:rPr>
                <w:vertAlign w:val="superscript"/>
              </w:rPr>
              <w:t>st</w:t>
            </w:r>
            <w:r w:rsidRPr="00903A14">
              <w:t xml:space="preserve"> </w:t>
            </w:r>
            <w:r w:rsidR="00902276" w:rsidRPr="00903A14">
              <w:t>March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37FCE15C" w14:textId="5A888859" w:rsidR="00952088" w:rsidRPr="00903A14" w:rsidRDefault="00902276" w:rsidP="00903A14">
            <w:r w:rsidRPr="00903A14">
              <w:t>No earlier than 12</w:t>
            </w:r>
            <w:r w:rsidRPr="00903A14">
              <w:rPr>
                <w:vertAlign w:val="superscript"/>
              </w:rPr>
              <w:t>th</w:t>
            </w:r>
            <w:r w:rsidRPr="00903A14">
              <w:t xml:space="preserve"> April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7B5E5F95" w14:textId="16BA3CEA" w:rsidR="00952088" w:rsidRPr="00903A14" w:rsidRDefault="00902276" w:rsidP="00903A14">
            <w:r w:rsidRPr="00903A14">
              <w:t>No earlier than 17</w:t>
            </w:r>
            <w:r w:rsidRPr="00903A14">
              <w:rPr>
                <w:vertAlign w:val="superscript"/>
              </w:rPr>
              <w:t>th</w:t>
            </w:r>
            <w:r w:rsidRPr="00903A14">
              <w:t xml:space="preserve"> May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6E85DD2C" w14:textId="4F8D6B5E" w:rsidR="00952088" w:rsidRPr="00903A14" w:rsidRDefault="00902276" w:rsidP="00903A14">
            <w:r w:rsidRPr="00903A14">
              <w:t>No earlier than 21</w:t>
            </w:r>
            <w:r w:rsidRPr="00903A14">
              <w:rPr>
                <w:vertAlign w:val="superscript"/>
              </w:rPr>
              <w:t>st</w:t>
            </w:r>
            <w:r w:rsidRPr="00903A14">
              <w:t xml:space="preserve"> June</w:t>
            </w:r>
          </w:p>
        </w:tc>
      </w:tr>
      <w:tr w:rsidR="002378E1" w:rsidRPr="00903A14" w14:paraId="5C979906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74CF8B45" w14:textId="1547B08F" w:rsidR="002378E1" w:rsidRPr="00903A14" w:rsidRDefault="002378E1" w:rsidP="00903A14">
            <w:r>
              <w:t>General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591ECF86" w14:textId="51EA607E" w:rsidR="002378E1" w:rsidRPr="00903A14" w:rsidRDefault="00BA3E58" w:rsidP="00903A14">
            <w:r>
              <w:t>Hands-face-space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0E0C3275" w14:textId="1DD24641" w:rsidR="002378E1" w:rsidRPr="00903A14" w:rsidRDefault="00BA3E58" w:rsidP="00903A14">
            <w:r>
              <w:t>Hands-face-space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04F85FC4" w14:textId="2C4CDAD0" w:rsidR="002378E1" w:rsidRPr="00903A14" w:rsidRDefault="00BA3E58" w:rsidP="00903A14">
            <w:r>
              <w:t>Hands-face-space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477E8A97" w14:textId="322245B9" w:rsidR="002378E1" w:rsidRPr="00903A14" w:rsidRDefault="00BA3E58" w:rsidP="00903A14">
            <w:r>
              <w:t>No restrictions</w:t>
            </w:r>
          </w:p>
        </w:tc>
      </w:tr>
      <w:tr w:rsidR="00952088" w:rsidRPr="00903A14" w14:paraId="10662F56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57C68307" w14:textId="13AA0A13" w:rsidR="00952088" w:rsidRPr="00903A14" w:rsidRDefault="00902276" w:rsidP="00903A14">
            <w:r w:rsidRPr="00903A14">
              <w:t>Facilities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4F8F5041" w14:textId="77777777" w:rsidR="00952088" w:rsidRPr="00903A14" w:rsidRDefault="00902276" w:rsidP="00903A14">
            <w:r w:rsidRPr="00903A14">
              <w:t>Toilets Open</w:t>
            </w:r>
          </w:p>
          <w:p w14:paraId="759D91D6" w14:textId="5E57090B" w:rsidR="00902276" w:rsidRPr="00903A14" w:rsidRDefault="00902276" w:rsidP="00903A14">
            <w:r w:rsidRPr="00903A14">
              <w:t>Changing rooms closed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6E313E18" w14:textId="77777777" w:rsidR="00952088" w:rsidRDefault="00902276" w:rsidP="00903A14">
            <w:r w:rsidRPr="00903A14">
              <w:t>Changing rooms open on a ‘change and vacate’ basis. No kit to be left in changing rooms</w:t>
            </w:r>
            <w:r w:rsidR="00B9676F" w:rsidRPr="00903A14">
              <w:t>.</w:t>
            </w:r>
          </w:p>
          <w:p w14:paraId="38F0A6F8" w14:textId="0DAD5F13" w:rsidR="005E7805" w:rsidRPr="00903A14" w:rsidRDefault="005E7805" w:rsidP="00903A14">
            <w:r>
              <w:t>No Showers.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6C2FF9EA" w14:textId="77777777" w:rsidR="000E7CBF" w:rsidRDefault="000E7CBF" w:rsidP="000E7CBF">
            <w:r w:rsidRPr="00903A14">
              <w:t>Changing rooms open on a ‘change and vacate’ basis. No kit to be left in changing rooms.</w:t>
            </w:r>
          </w:p>
          <w:p w14:paraId="0342450D" w14:textId="3DCAC2D1" w:rsidR="00952088" w:rsidRPr="00903A14" w:rsidRDefault="000E7CBF" w:rsidP="000E7CBF">
            <w:r>
              <w:t>No Showers.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205FA5BE" w14:textId="59FC1053" w:rsidR="00952088" w:rsidRPr="00903A14" w:rsidRDefault="00B9676F" w:rsidP="00903A14">
            <w:r w:rsidRPr="00903A14">
              <w:t xml:space="preserve">Changing rooms </w:t>
            </w:r>
            <w:r w:rsidR="005E7805">
              <w:t>fully open.</w:t>
            </w:r>
          </w:p>
        </w:tc>
      </w:tr>
      <w:tr w:rsidR="00952088" w:rsidRPr="00903A14" w14:paraId="5130CAC8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3B32C165" w14:textId="2B699571" w:rsidR="00952088" w:rsidRPr="00903A14" w:rsidRDefault="00B9676F" w:rsidP="00903A14">
            <w:r w:rsidRPr="00903A14">
              <w:t>Galley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253220A7" w14:textId="2308B5C7" w:rsidR="00952088" w:rsidRPr="00903A14" w:rsidRDefault="00B9676F" w:rsidP="00903A14">
            <w:r w:rsidRPr="00903A14">
              <w:t>Takeaway service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0F1B5BCC" w14:textId="72F9D03A" w:rsidR="00952088" w:rsidRPr="00903A14" w:rsidRDefault="00B9676F" w:rsidP="00903A14">
            <w:r w:rsidRPr="00903A14">
              <w:t>Outdoor rule of 6 or 2 households outdoor table service</w:t>
            </w:r>
            <w:r w:rsidR="000E7CBF">
              <w:t xml:space="preserve"> / Takeaway service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279D4C45" w14:textId="063766A0" w:rsidR="00952088" w:rsidRPr="00903A14" w:rsidRDefault="00B9676F" w:rsidP="00903A14">
            <w:r w:rsidRPr="00903A14">
              <w:t>Indoor hospitality permitted (rule of 6 or 2 households). Outdoor hospitality (max 30)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5883BE85" w14:textId="1C9A29AE" w:rsidR="00952088" w:rsidRPr="00903A14" w:rsidRDefault="00903A14" w:rsidP="00903A14">
            <w:r>
              <w:t>Fully open</w:t>
            </w:r>
          </w:p>
        </w:tc>
      </w:tr>
      <w:tr w:rsidR="00903A14" w:rsidRPr="00903A14" w14:paraId="7716F7F6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544723A0" w14:textId="55816BD9" w:rsidR="00903A14" w:rsidRPr="00903A14" w:rsidRDefault="00903A14" w:rsidP="00903A14">
            <w:r>
              <w:t xml:space="preserve">Sailing &amp; </w:t>
            </w:r>
            <w:r w:rsidR="001A06E0">
              <w:t>W</w:t>
            </w:r>
            <w:r>
              <w:t>ater</w:t>
            </w:r>
            <w:r w:rsidR="00E20CE3">
              <w:t>-</w:t>
            </w:r>
            <w:r>
              <w:t>sports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482EA411" w14:textId="41F4EC59" w:rsidR="00903A14" w:rsidRPr="00903A14" w:rsidRDefault="00903A14" w:rsidP="00903A14">
            <w:r>
              <w:t>Per the Club Calendar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4058EC14" w14:textId="29802C43" w:rsidR="00903A14" w:rsidRPr="00903A14" w:rsidRDefault="00903A14" w:rsidP="00903A14">
            <w:r>
              <w:t>Per the Club Calendar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2E65952E" w14:textId="713C1F70" w:rsidR="00903A14" w:rsidRPr="00903A14" w:rsidRDefault="00903A14" w:rsidP="00903A14">
            <w:r>
              <w:t>Per the Club Calendar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0A18DE5B" w14:textId="2A8F1089" w:rsidR="00903A14" w:rsidRDefault="00903A14" w:rsidP="00903A14">
            <w:r>
              <w:t>Per the Club Calendar</w:t>
            </w:r>
          </w:p>
        </w:tc>
      </w:tr>
      <w:tr w:rsidR="00903A14" w:rsidRPr="00903A14" w14:paraId="5320BE6A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02553E00" w14:textId="799B3233" w:rsidR="00903A14" w:rsidRDefault="00903A14" w:rsidP="00903A14">
            <w:r>
              <w:t>Training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1B382480" w14:textId="0F7980EE" w:rsidR="00903A14" w:rsidRDefault="00903A14" w:rsidP="00903A14">
            <w:r>
              <w:t>Training can take place per RYA guidance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53DCF334" w14:textId="7B06409C" w:rsidR="00903A14" w:rsidRDefault="00903A14" w:rsidP="00903A14">
            <w:r>
              <w:t>Training can take place per RYA guidance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5E6B0547" w14:textId="39E996FC" w:rsidR="00903A14" w:rsidRDefault="00903A14" w:rsidP="00903A14">
            <w:r>
              <w:t>Training can take place per RYA guidance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4AB66A81" w14:textId="0F2AC332" w:rsidR="00903A14" w:rsidRDefault="00903A14" w:rsidP="00903A14">
            <w:r>
              <w:t>Training fully operational</w:t>
            </w:r>
          </w:p>
        </w:tc>
      </w:tr>
      <w:tr w:rsidR="002378E1" w:rsidRPr="00903A14" w14:paraId="04755CB8" w14:textId="77777777" w:rsidTr="00172500">
        <w:tc>
          <w:tcPr>
            <w:tcW w:w="1954" w:type="dxa"/>
            <w:shd w:val="clear" w:color="auto" w:fill="F2F2F2" w:themeFill="background1" w:themeFillShade="F2"/>
          </w:tcPr>
          <w:p w14:paraId="6B789B2C" w14:textId="4B53864B" w:rsidR="002378E1" w:rsidRDefault="002378E1" w:rsidP="00903A14">
            <w:r>
              <w:t>Rescue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0CE5E278" w14:textId="4E1888DA" w:rsidR="002378E1" w:rsidRDefault="002378E1" w:rsidP="00903A14">
            <w:r>
              <w:t>Social distance on-shore. Minimise time in rescue boats to just carrying out a rescue. Allocate crews to boats, no mixing of crews during the day.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6A2DD641" w14:textId="2356548E" w:rsidR="002378E1" w:rsidRDefault="002378E1" w:rsidP="00903A14">
            <w:r>
              <w:t>Social distance on-shore. Minimise time in rescue boats to just carrying out a rescue. Allocate crews to boats, no mixing of crews during the day.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7B817272" w14:textId="056411EA" w:rsidR="002378E1" w:rsidRDefault="002378E1" w:rsidP="00903A14">
            <w:r>
              <w:t>Social distance on-shore. Minimise time in rescue boats. Allocate crews to boats.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301082C4" w14:textId="0363BFC4" w:rsidR="002378E1" w:rsidRDefault="002378E1" w:rsidP="00903A14">
            <w:r>
              <w:t>Rescue boats</w:t>
            </w:r>
            <w:r w:rsidR="00BA3E58">
              <w:t xml:space="preserve"> patrolling the water as required by the prevailing conditions.</w:t>
            </w:r>
          </w:p>
        </w:tc>
      </w:tr>
      <w:tr w:rsidR="002378E1" w:rsidRPr="00903A14" w14:paraId="05FC7D94" w14:textId="77777777" w:rsidTr="00804BEA">
        <w:trPr>
          <w:trHeight w:val="1742"/>
        </w:trPr>
        <w:tc>
          <w:tcPr>
            <w:tcW w:w="1954" w:type="dxa"/>
            <w:shd w:val="clear" w:color="auto" w:fill="F2F2F2" w:themeFill="background1" w:themeFillShade="F2"/>
          </w:tcPr>
          <w:p w14:paraId="77A5D4D4" w14:textId="2F39F56C" w:rsidR="002378E1" w:rsidRDefault="002378E1" w:rsidP="002378E1">
            <w:r>
              <w:t>Open Events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14:paraId="2FE2C386" w14:textId="7F427299" w:rsidR="002378E1" w:rsidRDefault="002378E1" w:rsidP="002378E1">
            <w:r>
              <w:t>No Open events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2973C4EC" w14:textId="03DD9BEC" w:rsidR="002378E1" w:rsidRDefault="002378E1" w:rsidP="002378E1">
            <w:r>
              <w:t>Open events to be held for participants who can travel locally (arrive, compete, return within a day)</w:t>
            </w:r>
          </w:p>
        </w:tc>
        <w:tc>
          <w:tcPr>
            <w:tcW w:w="1954" w:type="dxa"/>
            <w:shd w:val="clear" w:color="auto" w:fill="E2EFD9" w:themeFill="accent6" w:themeFillTint="33"/>
          </w:tcPr>
          <w:p w14:paraId="59565206" w14:textId="67955BAA" w:rsidR="002378E1" w:rsidRDefault="002378E1" w:rsidP="002378E1">
            <w:r>
              <w:t>Open events to be held. Overnight stays permitted.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5F95842C" w14:textId="50BB3CF1" w:rsidR="002378E1" w:rsidRDefault="002378E1" w:rsidP="002378E1">
            <w:r>
              <w:t>Open events to be held. Overnight stays permitted.</w:t>
            </w:r>
          </w:p>
        </w:tc>
      </w:tr>
    </w:tbl>
    <w:p w14:paraId="3663E87A" w14:textId="6C96772E" w:rsidR="00952088" w:rsidRPr="00903A14" w:rsidRDefault="00952088" w:rsidP="00804BEA">
      <w:pPr>
        <w:jc w:val="both"/>
      </w:pPr>
    </w:p>
    <w:sectPr w:rsidR="00952088" w:rsidRPr="00903A14" w:rsidSect="00804BEA">
      <w:headerReference w:type="default" r:id="rId6"/>
      <w:pgSz w:w="11906" w:h="16838"/>
      <w:pgMar w:top="1440" w:right="113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F347F" w14:textId="77777777" w:rsidR="00493C6A" w:rsidRDefault="00493C6A" w:rsidP="00026AA4">
      <w:pPr>
        <w:spacing w:after="0" w:line="240" w:lineRule="auto"/>
      </w:pPr>
      <w:r>
        <w:separator/>
      </w:r>
    </w:p>
  </w:endnote>
  <w:endnote w:type="continuationSeparator" w:id="0">
    <w:p w14:paraId="5683282E" w14:textId="77777777" w:rsidR="00493C6A" w:rsidRDefault="00493C6A" w:rsidP="0002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A225D" w14:textId="77777777" w:rsidR="00493C6A" w:rsidRDefault="00493C6A" w:rsidP="00026AA4">
      <w:pPr>
        <w:spacing w:after="0" w:line="240" w:lineRule="auto"/>
      </w:pPr>
      <w:r>
        <w:separator/>
      </w:r>
    </w:p>
  </w:footnote>
  <w:footnote w:type="continuationSeparator" w:id="0">
    <w:p w14:paraId="6C061724" w14:textId="77777777" w:rsidR="00493C6A" w:rsidRDefault="00493C6A" w:rsidP="0002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39E0" w14:textId="13AA6717" w:rsidR="00026AA4" w:rsidRDefault="00026AA4">
    <w:pPr>
      <w:pStyle w:val="Header"/>
    </w:pPr>
    <w:r>
      <w:rPr>
        <w:noProof/>
      </w:rPr>
      <w:drawing>
        <wp:inline distT="0" distB="0" distL="0" distR="0" wp14:anchorId="0B41A85D" wp14:editId="5D130FF0">
          <wp:extent cx="2386551" cy="400050"/>
          <wp:effectExtent l="0" t="0" r="0" b="0"/>
          <wp:docPr id="10" name="Picture 10">
            <a:extLst xmlns:a="http://schemas.openxmlformats.org/drawingml/2006/main">
              <a:ext uri="{FF2B5EF4-FFF2-40B4-BE49-F238E27FC236}">
                <a16:creationId xmlns:a16="http://schemas.microsoft.com/office/drawing/2014/main" id="{0D1759B0-0370-4177-A090-0FBED5E734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D1759B0-0370-4177-A090-0FBED5E734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373" cy="40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A4"/>
    <w:rsid w:val="00026AA4"/>
    <w:rsid w:val="00031A1D"/>
    <w:rsid w:val="00077EE5"/>
    <w:rsid w:val="000B5643"/>
    <w:rsid w:val="000E7CBF"/>
    <w:rsid w:val="00133CDD"/>
    <w:rsid w:val="00172500"/>
    <w:rsid w:val="001A06E0"/>
    <w:rsid w:val="001B089C"/>
    <w:rsid w:val="001D05BC"/>
    <w:rsid w:val="001E2966"/>
    <w:rsid w:val="002378E1"/>
    <w:rsid w:val="00261881"/>
    <w:rsid w:val="00391075"/>
    <w:rsid w:val="00493C6A"/>
    <w:rsid w:val="00583081"/>
    <w:rsid w:val="005E7805"/>
    <w:rsid w:val="0072006D"/>
    <w:rsid w:val="007366BE"/>
    <w:rsid w:val="00741A18"/>
    <w:rsid w:val="007F5094"/>
    <w:rsid w:val="00804BEA"/>
    <w:rsid w:val="00873654"/>
    <w:rsid w:val="00902276"/>
    <w:rsid w:val="00903A14"/>
    <w:rsid w:val="00952088"/>
    <w:rsid w:val="009A0BF7"/>
    <w:rsid w:val="00A37E2E"/>
    <w:rsid w:val="00A535F7"/>
    <w:rsid w:val="00A6586B"/>
    <w:rsid w:val="00AC23F5"/>
    <w:rsid w:val="00B9676F"/>
    <w:rsid w:val="00BA3E58"/>
    <w:rsid w:val="00C4455A"/>
    <w:rsid w:val="00CC5E4B"/>
    <w:rsid w:val="00CE387F"/>
    <w:rsid w:val="00D46B84"/>
    <w:rsid w:val="00E20CE3"/>
    <w:rsid w:val="00E369D1"/>
    <w:rsid w:val="00E80E89"/>
    <w:rsid w:val="00FD5846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2EB2"/>
  <w15:chartTrackingRefBased/>
  <w15:docId w15:val="{EE76AECE-ACB1-433D-8DFB-25DAB7E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AA4"/>
  </w:style>
  <w:style w:type="paragraph" w:styleId="Footer">
    <w:name w:val="footer"/>
    <w:basedOn w:val="Normal"/>
    <w:link w:val="FooterChar"/>
    <w:uiPriority w:val="99"/>
    <w:unhideWhenUsed/>
    <w:rsid w:val="0002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AA4"/>
  </w:style>
  <w:style w:type="character" w:styleId="Hyperlink">
    <w:name w:val="Hyperlink"/>
    <w:basedOn w:val="DefaultParagraphFont"/>
    <w:uiPriority w:val="99"/>
    <w:unhideWhenUsed/>
    <w:rsid w:val="0003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hardiman846@gmail.com</dc:creator>
  <cp:keywords/>
  <dc:description/>
  <cp:lastModifiedBy>hardiman846@gmail.com</cp:lastModifiedBy>
  <cp:revision>7</cp:revision>
  <cp:lastPrinted>2021-03-09T15:06:00Z</cp:lastPrinted>
  <dcterms:created xsi:type="dcterms:W3CDTF">2021-03-18T08:58:00Z</dcterms:created>
  <dcterms:modified xsi:type="dcterms:W3CDTF">2021-03-18T12:00:00Z</dcterms:modified>
</cp:coreProperties>
</file>